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32" w:rsidRDefault="006C613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810250" cy="799161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Ф.МИН 5jpeg.jpeg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926" cy="799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32" w:rsidRDefault="006C6132">
      <w:pPr>
        <w:spacing w:after="0" w:line="240" w:lineRule="auto"/>
        <w:jc w:val="both"/>
      </w:pPr>
    </w:p>
    <w:p w:rsidR="006C6132" w:rsidRDefault="006C6132">
      <w:pPr>
        <w:spacing w:after="0" w:line="240" w:lineRule="auto"/>
        <w:jc w:val="both"/>
      </w:pPr>
    </w:p>
    <w:p w:rsidR="006C6132" w:rsidRDefault="006C6132">
      <w:pPr>
        <w:spacing w:after="0" w:line="240" w:lineRule="auto"/>
        <w:jc w:val="both"/>
      </w:pPr>
    </w:p>
    <w:p w:rsidR="006C6132" w:rsidRDefault="006C6132">
      <w:pPr>
        <w:spacing w:after="0" w:line="240" w:lineRule="auto"/>
        <w:jc w:val="both"/>
      </w:pPr>
    </w:p>
    <w:p w:rsidR="006C6132" w:rsidRDefault="006C6132">
      <w:pPr>
        <w:spacing w:after="0" w:line="240" w:lineRule="auto"/>
        <w:jc w:val="both"/>
      </w:pPr>
    </w:p>
    <w:p w:rsidR="00246A93" w:rsidRDefault="006C6132">
      <w:pPr>
        <w:spacing w:after="0" w:line="240" w:lineRule="auto"/>
        <w:jc w:val="both"/>
      </w:pPr>
      <w:r>
        <w:t>\</w:t>
      </w:r>
      <w:bookmarkStart w:id="0" w:name="_GoBack"/>
      <w:bookmarkEnd w:id="0"/>
    </w:p>
    <w:p w:rsidR="00246A93" w:rsidRDefault="00BD0CBD">
      <w:pPr>
        <w:spacing w:after="0" w:line="24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 xml:space="preserve">Приложение № 1 к приказу </w:t>
      </w:r>
    </w:p>
    <w:p w:rsidR="00246A93" w:rsidRDefault="00BD0CBD">
      <w:pPr>
        <w:spacing w:after="0" w:line="240" w:lineRule="auto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МБОУ СОШ </w:t>
      </w:r>
      <w:r w:rsidR="00271474">
        <w:rPr>
          <w:rFonts w:eastAsia="SimSun"/>
          <w:sz w:val="24"/>
          <w:szCs w:val="24"/>
        </w:rPr>
        <w:t xml:space="preserve">с.Новый  Урух </w:t>
      </w:r>
      <w:r>
        <w:rPr>
          <w:rFonts w:eastAsia="SimSun"/>
          <w:sz w:val="24"/>
          <w:szCs w:val="24"/>
        </w:rPr>
        <w:t xml:space="preserve"> от </w:t>
      </w:r>
      <w:r w:rsidR="00271474">
        <w:rPr>
          <w:rFonts w:eastAsia="SimSun"/>
          <w:sz w:val="24"/>
          <w:szCs w:val="24"/>
        </w:rPr>
        <w:t>26.07</w:t>
      </w:r>
      <w:r>
        <w:rPr>
          <w:rFonts w:eastAsia="SimSun"/>
          <w:sz w:val="24"/>
          <w:szCs w:val="24"/>
        </w:rPr>
        <w:t xml:space="preserve">.2023 г. № </w:t>
      </w:r>
      <w:r w:rsidR="00271474">
        <w:rPr>
          <w:rFonts w:eastAsia="SimSun"/>
          <w:sz w:val="24"/>
          <w:szCs w:val="24"/>
        </w:rPr>
        <w:t>40</w:t>
      </w:r>
    </w:p>
    <w:p w:rsidR="00246A93" w:rsidRDefault="00246A93">
      <w:pPr>
        <w:spacing w:after="0" w:line="240" w:lineRule="auto"/>
        <w:jc w:val="right"/>
        <w:rPr>
          <w:rFonts w:eastAsia="SimSun"/>
          <w:sz w:val="24"/>
          <w:szCs w:val="24"/>
        </w:rPr>
      </w:pPr>
    </w:p>
    <w:p w:rsidR="00246A93" w:rsidRDefault="00246A93">
      <w:pPr>
        <w:spacing w:after="0" w:line="240" w:lineRule="auto"/>
        <w:jc w:val="right"/>
        <w:rPr>
          <w:rFonts w:eastAsia="SimSun"/>
          <w:sz w:val="24"/>
          <w:szCs w:val="24"/>
        </w:rPr>
      </w:pPr>
    </w:p>
    <w:p w:rsidR="00246A93" w:rsidRDefault="00246A93">
      <w:pPr>
        <w:spacing w:after="0" w:line="240" w:lineRule="auto"/>
        <w:jc w:val="right"/>
        <w:rPr>
          <w:rFonts w:eastAsia="SimSun"/>
          <w:sz w:val="24"/>
          <w:szCs w:val="24"/>
        </w:rPr>
      </w:pPr>
    </w:p>
    <w:p w:rsidR="00246A93" w:rsidRDefault="00BD0CBD">
      <w:pPr>
        <w:spacing w:after="0" w:line="240" w:lineRule="auto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Базовый уровень Профориентационного минимума </w:t>
      </w:r>
    </w:p>
    <w:p w:rsidR="00246A93" w:rsidRDefault="00BD0CBD">
      <w:pPr>
        <w:spacing w:after="0" w:line="240" w:lineRule="auto"/>
        <w:jc w:val="center"/>
        <w:rPr>
          <w:rFonts w:eastAsia="SimSun"/>
          <w:szCs w:val="28"/>
        </w:rPr>
      </w:pPr>
      <w:r>
        <w:rPr>
          <w:rFonts w:eastAsia="SimSun"/>
          <w:szCs w:val="28"/>
        </w:rPr>
        <w:t>(рекомендованное количество часов в год - 40)</w:t>
      </w:r>
    </w:p>
    <w:p w:rsidR="00246A93" w:rsidRDefault="00246A93">
      <w:pPr>
        <w:spacing w:after="0" w:line="240" w:lineRule="auto"/>
        <w:jc w:val="center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>Цель реализации базового уровня</w:t>
      </w:r>
      <w:r>
        <w:rPr>
          <w:rFonts w:eastAsia="SimSun"/>
          <w:szCs w:val="28"/>
        </w:rPr>
        <w:t xml:space="preserve"> –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:rsidR="00CB39C0" w:rsidRDefault="00BD0CBD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 xml:space="preserve">Задачи базового уровня: </w:t>
      </w:r>
    </w:p>
    <w:p w:rsidR="00246A93" w:rsidRDefault="00CB39C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</w:t>
      </w:r>
      <w:r w:rsidR="00BD0CBD">
        <w:rPr>
          <w:rFonts w:eastAsia="SimSun"/>
          <w:szCs w:val="28"/>
        </w:rPr>
        <w:t xml:space="preserve">организация и систематизация первичной профориентационной помощи;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-информирование обучающихся о содержании деятельности востребованных на рынке труда специалистов;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-развитие мотивации обучающихся к профессиональному самоопределению;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 -диагностика склонностей обучающихся к профессиональным направлениям.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CB39C0" w:rsidRDefault="00CB39C0">
      <w:pPr>
        <w:spacing w:after="0" w:line="240" w:lineRule="auto"/>
        <w:ind w:firstLineChars="125" w:firstLine="351"/>
        <w:jc w:val="center"/>
        <w:rPr>
          <w:rFonts w:eastAsia="SimSun"/>
          <w:b/>
          <w:bCs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Рекомендации по реализации базового уровня </w:t>
      </w:r>
    </w:p>
    <w:p w:rsidR="00246A93" w:rsidRDefault="00BD0CBD">
      <w:pPr>
        <w:spacing w:after="0" w:line="240" w:lineRule="auto"/>
        <w:ind w:firstLineChars="125" w:firstLine="351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Профориентационного минимума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Организационные и методические условия для участия обучающихся 6– 11 классов в профориентационной деятельности: </w:t>
      </w:r>
    </w:p>
    <w:p w:rsidR="00246A93" w:rsidRDefault="00BD0CBD">
      <w:pPr>
        <w:numPr>
          <w:ilvl w:val="0"/>
          <w:numId w:val="2"/>
        </w:num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Назначить ответственного в школе по профориентации (замдиректора по учебно-воспитательной работе). </w:t>
      </w:r>
    </w:p>
    <w:p w:rsidR="00246A93" w:rsidRDefault="00BD0CBD">
      <w:pPr>
        <w:numPr>
          <w:ilvl w:val="0"/>
          <w:numId w:val="2"/>
        </w:numPr>
        <w:spacing w:after="0" w:line="240" w:lineRule="auto"/>
        <w:ind w:firstLineChars="125" w:firstLine="350"/>
        <w:jc w:val="both"/>
        <w:rPr>
          <w:szCs w:val="28"/>
        </w:rPr>
      </w:pPr>
      <w:r>
        <w:rPr>
          <w:rFonts w:eastAsia="SimSun"/>
          <w:szCs w:val="28"/>
        </w:rPr>
        <w:t xml:space="preserve">Определить ответственных специалистов по организации профориентационной работы из числа педагогических работников (педагогпредметник, классный руководитель, педагог-психолог, и др.). Данному специалисту необходимо пройти инструктаж по организации и проведению профориентационной работы в образовательной организации (не менее 6 ак. часов). </w:t>
      </w:r>
    </w:p>
    <w:p w:rsidR="00246A93" w:rsidRDefault="00BD0CBD">
      <w:pPr>
        <w:numPr>
          <w:ilvl w:val="0"/>
          <w:numId w:val="2"/>
        </w:numPr>
        <w:spacing w:after="0" w:line="240" w:lineRule="auto"/>
        <w:ind w:firstLineChars="125" w:firstLine="350"/>
        <w:jc w:val="both"/>
        <w:rPr>
          <w:szCs w:val="28"/>
        </w:rPr>
      </w:pPr>
      <w:r>
        <w:rPr>
          <w:rFonts w:eastAsia="SimSun"/>
          <w:szCs w:val="28"/>
        </w:rPr>
        <w:t xml:space="preserve">Специалист определяет количество участников профориентационных мероприятий из числа обучающихся 6–11 классов (формирует учебные группы). </w:t>
      </w:r>
    </w:p>
    <w:p w:rsidR="00246A93" w:rsidRDefault="00BD0CBD">
      <w:pPr>
        <w:numPr>
          <w:ilvl w:val="0"/>
          <w:numId w:val="2"/>
        </w:numPr>
        <w:spacing w:after="0" w:line="240" w:lineRule="auto"/>
        <w:ind w:firstLineChars="125" w:firstLine="350"/>
        <w:jc w:val="both"/>
        <w:rPr>
          <w:szCs w:val="28"/>
        </w:rPr>
      </w:pPr>
      <w:r>
        <w:rPr>
          <w:rFonts w:eastAsia="SimSun"/>
          <w:szCs w:val="28"/>
        </w:rPr>
        <w:t>Специалист создает план профориентационной работы с учетом возрастных и индивидуальных особенностей обучающихся, входящих в учебные группы.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lastRenderedPageBreak/>
        <w:t xml:space="preserve">Рекомендовано использовать в программе следующие профориентационные мероприятия: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Профориентационный урок. Специалист может самостоятельно разработать профориентационный урок или воспользоваться разработанными материалами в рамках федерального проекта «Успех каждого ребенка» Национального проекта «Образование» («Билет в будущее», онлайн-уроки «ПроеКТОриЯ» и др.). </w:t>
      </w:r>
      <w:r>
        <w:rPr>
          <w:rFonts w:eastAsia="SimSun"/>
          <w:szCs w:val="28"/>
        </w:rPr>
        <w:t xml:space="preserve">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-Онлайн-диагностика и групповое консультирование по итогам оценки профильной направленности школьников с помощью профориентационной диагностики.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-Информационное сопровождение обучающихся и их родителей по возможностям общедоступного и школьного сегментов Платформы «Билет в будущее».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-Вариативные мероприятия: проектная деятельность, посещение организаций профессионального образования и работодателей территориальной среды, проведение профориентационной программы.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В рамках уровня проводится сбор количественных показателей реализации профориентационных программ и мероприятий (примеры показателей см. в Приложении 1). Сбор осуществляется за счет использования платформенных решений в автоматизированном виде.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Форматы профориентационной работы</w:t>
      </w:r>
    </w:p>
    <w:p w:rsidR="00246A93" w:rsidRDefault="00246A93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Профориентационная работа реализуется в следующих форматах: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>Урочная деятельность</w:t>
      </w:r>
      <w:r>
        <w:rPr>
          <w:rFonts w:eastAsia="SimSun"/>
          <w:szCs w:val="28"/>
        </w:rPr>
        <w:t xml:space="preserve">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На выбор: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«Конструктор будущего» (в рамках проекта («Билет в будущее») или другие программы. </w:t>
      </w:r>
      <w:r>
        <w:rPr>
          <w:rFonts w:eastAsia="SimSun"/>
          <w:szCs w:val="28"/>
        </w:rPr>
        <w:t>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Уроки профориентационной направленности в рамках учебного предмета «Технология».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  <w:u w:val="single"/>
        </w:rPr>
      </w:pPr>
      <w:r>
        <w:rPr>
          <w:rFonts w:eastAsia="SimSun"/>
          <w:szCs w:val="28"/>
          <w:u w:val="single"/>
        </w:rPr>
        <w:t xml:space="preserve">Рекомендованное количество: от 4 часов.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Внеурочная деятельность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Курс занятий: «Россия - мои горизонты»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  <w:u w:val="single"/>
        </w:rPr>
      </w:pPr>
      <w:r>
        <w:rPr>
          <w:rFonts w:eastAsia="SimSun"/>
          <w:szCs w:val="28"/>
          <w:u w:val="single"/>
        </w:rPr>
        <w:t>Рекомендованное количество: от 34 часов.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  <w:u w:val="single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Взаимодействие с родителями</w:t>
      </w:r>
    </w:p>
    <w:p w:rsidR="00246A93" w:rsidRDefault="00246A93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Участие во всероссийских родительских собраниях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  <w:u w:val="single"/>
        </w:rPr>
      </w:pPr>
      <w:r>
        <w:rPr>
          <w:rFonts w:eastAsia="SimSun"/>
          <w:szCs w:val="28"/>
          <w:u w:val="single"/>
        </w:rPr>
        <w:lastRenderedPageBreak/>
        <w:t>Рекомендованное количество: от 2 часов.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Описание профориентационных мероприятий на базовом уровне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Профориентационный урок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Профориентационные уроки ориентированы на разные возрастные группы обучающихся с 6 по 11 класс, для каждого класса создается с учетом возрастных норм и актуальности профориентационных задач, стоящих перед обучающимися.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Так, в 6–7 классе актуальнее представить широкий контекст профессионального выбора, рассказать о значимости труда в жизни человека, способы профессионального выбора, рассматривать предпрофильные направления обучения, возможности дополнительного образования, темы проектных работ.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В 8–9 классах стоит обратить внимание на выбор уровня профессионального образования, содержание основных и востребованных профессий.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В 10–11 классах среди важных для рассмотрения тем: выбор направления профессионального обучения и соответствующих предметов для вступительных испытаний, особенности поступления в образовательные организации высшего образования, старт профессиональной карьеры.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Продолжительность урока не менее 45 мин. В каждый урок встраиваются интерактивные элементы – вопросы по теме урока, тестирование/опрос с целью организации взаимодействия педагога</w:t>
      </w:r>
      <w:r w:rsidR="00CB39C0">
        <w:rPr>
          <w:rFonts w:eastAsia="SimSun"/>
          <w:szCs w:val="28"/>
        </w:rPr>
        <w:t>-</w:t>
      </w:r>
      <w:r>
        <w:rPr>
          <w:rFonts w:eastAsia="SimSun"/>
          <w:szCs w:val="28"/>
        </w:rPr>
        <w:t xml:space="preserve">навигатора с обучающимися. Во время урока школьники имеют возможность решить в классе и/или в качестве домашнего задания профориентационные упражнения.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Профориентационная онлайн-диагностика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Онлайн-диагностика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6–7 класс, 8–9 класс и 10–11 класс.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После получения результатов диагностики необходимо проведение групповой консультации (допускается использование форматов видеоконсультаций). В зависимости от возраста и стоящих перед обучающимися профориентационных задач методики отличаются в отношении рекомендаций, которые даются в отчете по итогам тестирования.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Общая структура методики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По итогам тестирования на Платформе автоматически формируется индивидуальный отчет для обучающегося, содержащий следующую информацию: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-Графическое предъявление результатов профессиональных склонностей (шкальный</w:t>
      </w:r>
      <w:r w:rsidR="00CB39C0">
        <w:rPr>
          <w:rFonts w:eastAsia="SimSun"/>
          <w:szCs w:val="28"/>
        </w:rPr>
        <w:t xml:space="preserve"> </w:t>
      </w:r>
      <w:r>
        <w:rPr>
          <w:rFonts w:eastAsia="SimSun"/>
          <w:szCs w:val="28"/>
        </w:rPr>
        <w:t xml:space="preserve">профиль, стандартизированные баллы);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lastRenderedPageBreak/>
        <w:t xml:space="preserve">-Рекомендации по выбору профиля обучения и профессиональных направлений;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-Текстовые описания рекомендованных профилей обучения и рекомендуемых профессиональных направлений, представленных в тесте;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Дополнительные рекомендации по итогам тестирования: выбор уровня образования (8-9 класс), перечень рекомендуемых учебных предметов для сдачи ЕГЭ в рамках каждого профиля обучения (10-11 классы).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 По итогам профориентационной диагностики на Платформе автоматически формируются две формы отчета: для обучающегося и родителя (законного представителя)</w:t>
      </w:r>
      <w:r w:rsidR="00CB39C0">
        <w:rPr>
          <w:rFonts w:eastAsia="SimSun"/>
          <w:szCs w:val="28"/>
        </w:rPr>
        <w:t xml:space="preserve"> </w:t>
      </w:r>
      <w:r>
        <w:rPr>
          <w:rFonts w:eastAsia="SimSun"/>
          <w:szCs w:val="28"/>
        </w:rPr>
        <w:t xml:space="preserve">и общий отчет для школы, в котором представлена статистика по обучающимся: распределение интересов по профессиональным направлениям и профилям обучения, профессиональные предпочтения и т.д.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Версия методики онлайн-диагностики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-Основной акцент для 6–7 классов – помощь в выборе направлений предпрофильного обучения и программ углубленного изучения отдельных предметов;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-Основной акцент для 8–9 классов – выбор профиля обучения, уровня обучения и профессионального направления;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-Основной акцент для 10–11 классов – выбор профиля дальнейшего обучения, профильных предметов для сдачи ЕГЭ, профессиональных направлений.  </w:t>
      </w:r>
    </w:p>
    <w:p w:rsidR="00CB39C0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-Для обучающихся с ОВЗ и инвалидностью используются адаптированные методики для 6–7, 8–9 и 10–11 классов по 8 нозологическим группам</w:t>
      </w:r>
      <w:r w:rsidR="00CB39C0">
        <w:rPr>
          <w:rFonts w:eastAsia="SimSun"/>
          <w:szCs w:val="28"/>
        </w:rPr>
        <w:t>:</w:t>
      </w:r>
    </w:p>
    <w:p w:rsidR="00CB39C0" w:rsidRDefault="00BD0CBD" w:rsidP="00CB39C0">
      <w:pPr>
        <w:spacing w:after="0" w:line="240" w:lineRule="auto"/>
        <w:ind w:firstLineChars="202" w:firstLine="566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 нарушение зрения (слабовидящие); </w:t>
      </w:r>
    </w:p>
    <w:p w:rsidR="00CB39C0" w:rsidRDefault="00BD0CBD" w:rsidP="00CB39C0">
      <w:pPr>
        <w:spacing w:after="0" w:line="240" w:lineRule="auto"/>
        <w:ind w:firstLineChars="202" w:firstLine="566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нарушение слуха (глухие и слабослышащие, позднооглохшие); </w:t>
      </w:r>
    </w:p>
    <w:p w:rsidR="00CB39C0" w:rsidRDefault="00BD0CBD" w:rsidP="00CB39C0">
      <w:pPr>
        <w:spacing w:after="0" w:line="240" w:lineRule="auto"/>
        <w:ind w:firstLineChars="202" w:firstLine="566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нарушение опорно</w:t>
      </w:r>
      <w:r w:rsidR="00CB39C0">
        <w:rPr>
          <w:rFonts w:eastAsia="SimSun"/>
          <w:szCs w:val="28"/>
        </w:rPr>
        <w:t>-</w:t>
      </w:r>
      <w:r>
        <w:rPr>
          <w:rFonts w:eastAsia="SimSun"/>
          <w:szCs w:val="28"/>
        </w:rPr>
        <w:t xml:space="preserve">двигательного аппарата; </w:t>
      </w:r>
    </w:p>
    <w:p w:rsidR="00CB39C0" w:rsidRDefault="00BD0CBD" w:rsidP="00CB39C0">
      <w:pPr>
        <w:spacing w:after="0" w:line="240" w:lineRule="auto"/>
        <w:ind w:firstLineChars="202" w:firstLine="566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общие заболевания (нарушение дыхательной системы, пищеварительной, эндокринной систем, сердечно-сосудистой системы и т.д.), </w:t>
      </w:r>
    </w:p>
    <w:p w:rsidR="00CB39C0" w:rsidRDefault="00BD0CBD" w:rsidP="00CB39C0">
      <w:pPr>
        <w:spacing w:after="0" w:line="240" w:lineRule="auto"/>
        <w:ind w:firstLineChars="202" w:firstLine="566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задержка психического развития (легкая степень); </w:t>
      </w:r>
    </w:p>
    <w:p w:rsidR="00CB39C0" w:rsidRDefault="00BD0CBD" w:rsidP="00CB39C0">
      <w:pPr>
        <w:spacing w:after="0" w:line="240" w:lineRule="auto"/>
        <w:ind w:firstLineChars="202" w:firstLine="566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тяжелое недоразвитие речи; </w:t>
      </w:r>
    </w:p>
    <w:p w:rsidR="00CB39C0" w:rsidRDefault="00BD0CBD" w:rsidP="00CB39C0">
      <w:pPr>
        <w:spacing w:after="0" w:line="240" w:lineRule="auto"/>
        <w:ind w:firstLineChars="202" w:firstLine="566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расстройства аутистического спектра), интеллектуальные нарушения (легкая степень) и </w:t>
      </w:r>
    </w:p>
    <w:p w:rsidR="00CB39C0" w:rsidRDefault="00CB39C0" w:rsidP="00CB39C0">
      <w:pPr>
        <w:spacing w:after="0" w:line="240" w:lineRule="auto"/>
        <w:ind w:firstLineChars="202" w:firstLine="566"/>
        <w:jc w:val="both"/>
        <w:rPr>
          <w:rFonts w:eastAsia="SimSun"/>
          <w:szCs w:val="28"/>
        </w:rPr>
      </w:pPr>
    </w:p>
    <w:p w:rsidR="00246A93" w:rsidRDefault="00BD0CBD" w:rsidP="00CB39C0">
      <w:pPr>
        <w:spacing w:after="0" w:line="240" w:lineRule="auto"/>
        <w:ind w:firstLineChars="202" w:firstLine="566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трех возрастных категорий: 6–7, 8–9, 10–11 классы.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 </w:t>
      </w: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Групповая консультация по результатам диагностики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Специалист, отвечающий за профориентационную работу, проводит урок, в рамках которого организует обсуждение результатов онлайн диагностики (тестирования): информирует о принципах интерпретации результатов (что означают высокие, средние и низкие результаты), как в дальнейшем применять полученные результаты. Возможно проведение консультаций с использованием видеоматериалов, содержащих интерпретацию результатов, предоставленных разработчиком онлайн диагностики.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lastRenderedPageBreak/>
        <w:t xml:space="preserve">Работа с родителями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Для работы с родителями рекомендуется использовать форму отчета для родителей по результатам онлайн-диагностики; материалы общедоступного контура Платформы основного уровня реализации Профориентационного минимума.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Профориентационные мероприятия по выбору </w:t>
      </w:r>
    </w:p>
    <w:p w:rsidR="00246A93" w:rsidRDefault="00BD0CBD" w:rsidP="00CB39C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Выбор вариативных мероприятий опирается на возможности образовательной организации. В число профориентационных мероприятий могут быть включены: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-Организация проектной деятельности обучающихся в соответствии с результатами и рекомендациями профориентационной диагностики с учетом выбранных обучающимися профессиональных направлений или профиля обучения.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-Посещение профессиональных образовательных организаций, организаций высшего образования и работодателей региона с учетом профессиональных склонностей обучающихся, выявленных в результате диагностики.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-Экскурсии в профессиональные образовательные организации и организации высшего образования – это возможность познакомить обучающихся с направлениями подготовки и программами обучения; с профессиональными задачами специалистов, с преподавателями; обсудить востребованность будущих выпускников.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-Экскурсии в компании или предприятия – это возможность познакомить обучающихся с подробностями ежедневной профессиональной деятельности конкретных специалистов, погрузить их в профессиональный контекст, «примерить» эти профессии на себя, тем самым, активизируя собственные размышления обучающихся, необходимые для совершения профессионального выбора.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-Мероприятия профориентационной программы могут быть встроены как профориентационные блоки, включенные в учебные предметы, тематические классные часы, так и как отдельный вид внеурочной деятельности, воспитательной работы, дополнительного образования.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right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Приложение 1 </w:t>
      </w:r>
    </w:p>
    <w:p w:rsidR="00246A93" w:rsidRDefault="00246A93">
      <w:pPr>
        <w:spacing w:after="0" w:line="240" w:lineRule="auto"/>
        <w:ind w:firstLineChars="125" w:firstLine="350"/>
        <w:jc w:val="right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Рекомендации по мониторингу исполнения мероприятий общеобразовательными организациями в рамках Профориентационного минимума</w:t>
      </w:r>
    </w:p>
    <w:p w:rsidR="00246A93" w:rsidRDefault="00246A93">
      <w:pPr>
        <w:spacing w:after="0" w:line="240" w:lineRule="auto"/>
        <w:ind w:firstLineChars="125" w:firstLine="350"/>
        <w:jc w:val="center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Работа с данными в рамках исполнения мероприятий профориентационного минимума включает в себя сбор, мониторинг и анализ количественных и качественных показателей, а также оценку эффектов и лонгитюдные исследования. Сбор данных автоматизирован с помощью платформенных решений.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Примеры показателей: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>Количественные показатели:</w:t>
      </w:r>
      <w:r>
        <w:rPr>
          <w:rFonts w:eastAsia="SimSun"/>
          <w:szCs w:val="28"/>
        </w:rPr>
        <w:t xml:space="preserve">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-количество педагогов, прошедших программу повышения квалификации по профориентационной работе, с указанием длительности обучения;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-количество обучающихся 6-11 классов, принявших участие в профпробах, от общего количества обучающихся 6-11 классов;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-количество учащихся прошедших онлайн-диагностику от общего количества учащихся 6-11 классов;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-статистика по выявленным профилям интересов и способностей в результате онлайн диагностики; </w:t>
      </w:r>
    </w:p>
    <w:p w:rsidR="00CB39C0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-статистика образовательно-профессиональных планов учащихся, выявленных в рамках онлайн диагностики;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количество и тематика региональных и федеральных мероприятий, проводимых школой, в рамках профориентационных мероприятий по выбору, с указанием количества обучающихся 6-11кл, принявших участие в каждом мероприятии, от общего числа обучающихся 6-11 классов школы; </w:t>
      </w:r>
    </w:p>
    <w:p w:rsidR="00CB39C0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-количество обучающихся 6-11 классов, принявших участие в проектной деятельности, от общего числа обучающихся 6-11 классов школы;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процент мероприятий, соответствующих профилю и запросам учеников, от общего числа мероприятий, проведенных школой в рамках мероприятий по выбору и др. 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BD0CBD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 xml:space="preserve">Качественные и количественные показатели: </w:t>
      </w:r>
      <w:r>
        <w:rPr>
          <w:rFonts w:eastAsia="SimSun"/>
          <w:szCs w:val="28"/>
        </w:rPr>
        <w:t xml:space="preserve">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-перечень дефицитов, по которым целесообразно подключать партнеров; количество обучающихся 6-11 классов, для которых характерны указанные дефициты; </w:t>
      </w:r>
      <w:r>
        <w:rPr>
          <w:rFonts w:eastAsia="SimSun"/>
          <w:szCs w:val="28"/>
        </w:rPr>
        <w:t xml:space="preserve">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-выбранный формат привлечение Партнеров;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-список партнеров, привлеченный к работе;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lastRenderedPageBreak/>
        <w:t xml:space="preserve">-перечень и количество мероприятий с партнерами; количество обучающихся 6-11 классов, принявших участие в каждом мероприятии, от общего числа обучающихся 6-11 классов в школе;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-процент соответствия мероприятий с партнерами профилям и дефицитам обучающихся по итогам диагностики;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-обратная связь по итогам проведенных профпроб и мероприятий;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-оценка нагрузки на участников проекта;  </w:t>
      </w:r>
    </w:p>
    <w:p w:rsidR="00246A93" w:rsidRDefault="00BD0CBD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-оценка долгосрочных эффектов проекта (в динамике по ученикам, организациям и пр.) и др.</w:t>
      </w: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246A93" w:rsidRDefault="00246A93">
      <w:pPr>
        <w:spacing w:after="0" w:line="240" w:lineRule="auto"/>
        <w:ind w:firstLineChars="125" w:firstLine="350"/>
        <w:jc w:val="both"/>
        <w:rPr>
          <w:szCs w:val="28"/>
        </w:rPr>
      </w:pPr>
    </w:p>
    <w:sectPr w:rsidR="00246A93" w:rsidSect="0027147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2D" w:rsidRDefault="00E1682D">
      <w:pPr>
        <w:spacing w:line="240" w:lineRule="auto"/>
      </w:pPr>
      <w:r>
        <w:separator/>
      </w:r>
    </w:p>
  </w:endnote>
  <w:endnote w:type="continuationSeparator" w:id="0">
    <w:p w:rsidR="00E1682D" w:rsidRDefault="00E16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2D" w:rsidRDefault="00E1682D">
      <w:pPr>
        <w:spacing w:after="0"/>
      </w:pPr>
      <w:r>
        <w:separator/>
      </w:r>
    </w:p>
  </w:footnote>
  <w:footnote w:type="continuationSeparator" w:id="0">
    <w:p w:rsidR="00E1682D" w:rsidRDefault="00E168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E831DB"/>
    <w:multiLevelType w:val="singleLevel"/>
    <w:tmpl w:val="C0E831D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10D7415"/>
    <w:multiLevelType w:val="singleLevel"/>
    <w:tmpl w:val="410D74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0B"/>
    <w:rsid w:val="00246A93"/>
    <w:rsid w:val="00271474"/>
    <w:rsid w:val="003547B8"/>
    <w:rsid w:val="004C26E5"/>
    <w:rsid w:val="004D79E3"/>
    <w:rsid w:val="00694AD6"/>
    <w:rsid w:val="006C6132"/>
    <w:rsid w:val="00BD0CBD"/>
    <w:rsid w:val="00C606EC"/>
    <w:rsid w:val="00CB39C0"/>
    <w:rsid w:val="00E1682D"/>
    <w:rsid w:val="00E8560B"/>
    <w:rsid w:val="00FD63FD"/>
    <w:rsid w:val="1A1245F4"/>
    <w:rsid w:val="206B7F2F"/>
    <w:rsid w:val="344A3483"/>
    <w:rsid w:val="38D527B0"/>
    <w:rsid w:val="595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3ECF"/>
  <w15:docId w15:val="{CE6C01A5-B855-4EB2-A63C-3D42B056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147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COPP2</dc:creator>
  <cp:lastModifiedBy>User</cp:lastModifiedBy>
  <cp:revision>3</cp:revision>
  <cp:lastPrinted>2023-07-26T08:10:00Z</cp:lastPrinted>
  <dcterms:created xsi:type="dcterms:W3CDTF">2023-07-26T08:17:00Z</dcterms:created>
  <dcterms:modified xsi:type="dcterms:W3CDTF">2023-07-26T16:08:00Z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2026CA4FEC7F459C825A9336610C9B6F</vt:lpwstr>
  </property>
</Properties>
</file>